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2263EB"/>
          <w:sz w:val="64"/>
        </w:rPr>
        <w:t>LinkEdu.AI</w:t>
      </w:r>
    </w:p>
    <w:p>
      <w:pPr>
        <w:jc w:val="center"/>
      </w:pPr>
      <w:r>
        <w:rPr>
          <w:color w:val="1A1A2E"/>
          <w:sz w:val="40"/>
        </w:rPr>
        <w:t>Data Processing Addendum (DPA)</w:t>
      </w:r>
    </w:p>
    <w:p/>
    <w:p>
      <w:pPr>
        <w:jc w:val="center"/>
      </w:pPr>
      <w:r>
        <w:rPr>
          <w:color w:val="64748B"/>
          <w:sz w:val="20"/>
        </w:rPr>
        <w:t>Template Version 1.0</w:t>
      </w:r>
    </w:p>
    <w:p>
      <w:pPr>
        <w:jc w:val="center"/>
      </w:pPr>
      <w:r>
        <w:rPr>
          <w:color w:val="64748B"/>
          <w:sz w:val="20"/>
        </w:rPr>
        <w:t>Last Updated: March 18, 2026</w:t>
      </w:r>
    </w:p>
    <w:p>
      <w:r>
        <w:br w:type="page"/>
      </w:r>
    </w:p>
    <w:p>
      <w:pPr>
        <w:pStyle w:val="Heading1"/>
      </w:pPr>
      <w:r>
        <w:rPr>
          <w:color w:val="1A1A2E"/>
        </w:rPr>
        <w:t>1. Parties</w:t>
      </w:r>
    </w:p>
    <w:p>
      <w:r>
        <w:t>This Data Processing Addendum ("DPA") is entered into between:</w:t>
        <w:br/>
        <w:br/>
        <w:t>"Controller": ____________________________________________ ("Organization")</w:t>
        <w:br/>
        <w:t>Address: ________________________________________________</w:t>
        <w:br/>
        <w:t>Contact: ________________________________________________</w:t>
        <w:br/>
        <w:br/>
        <w:t>"Processor": LinkEdu.AI (operated by LinkEdu Technologies Ltd.)</w:t>
        <w:br/>
        <w:t>Address: ________________________________________________</w:t>
        <w:br/>
        <w:t>Contact: privacy@linkedu.ai</w:t>
        <w:br/>
        <w:br/>
        <w:t>Collectively referred to as the "Parties".</w:t>
      </w:r>
    </w:p>
    <w:p>
      <w:pPr>
        <w:pStyle w:val="Heading1"/>
      </w:pPr>
      <w:r>
        <w:rPr>
          <w:color w:val="1A1A2E"/>
        </w:rPr>
        <w:t>2. Definitions</w:t>
      </w:r>
    </w:p>
    <w:p>
      <w:r>
        <w:rPr>
          <w:b/>
          <w:sz w:val="20"/>
        </w:rPr>
        <w:t xml:space="preserve">"Personal Data": </w:t>
      </w:r>
      <w:r>
        <w:rPr>
          <w:sz w:val="20"/>
        </w:rPr>
        <w:t>Any information relating to an identified or identifiable natural person, as defined under applicable data protection laws including GDPR, CCPA, and equivalent legislation.</w:t>
      </w:r>
    </w:p>
    <w:p>
      <w:r>
        <w:rPr>
          <w:b/>
          <w:sz w:val="20"/>
        </w:rPr>
        <w:t xml:space="preserve">"Processing": </w:t>
      </w:r>
      <w:r>
        <w:rPr>
          <w:sz w:val="20"/>
        </w:rPr>
        <w:t>Any operation or set of operations performed on Personal Data, including collection, recording, organization, storage, adaptation, retrieval, consultation, use, disclosure, erasure, or destruction.</w:t>
      </w:r>
    </w:p>
    <w:p>
      <w:r>
        <w:rPr>
          <w:b/>
          <w:sz w:val="20"/>
        </w:rPr>
        <w:t xml:space="preserve">"Data Subject": </w:t>
      </w:r>
      <w:r>
        <w:rPr>
          <w:sz w:val="20"/>
        </w:rPr>
        <w:t>The identified or identifiable natural person to whom the Personal Data relates.</w:t>
      </w:r>
    </w:p>
    <w:p>
      <w:r>
        <w:rPr>
          <w:b/>
          <w:sz w:val="20"/>
        </w:rPr>
        <w:t xml:space="preserve">"Sub-processor": </w:t>
      </w:r>
      <w:r>
        <w:rPr>
          <w:sz w:val="20"/>
        </w:rPr>
        <w:t>Any third party engaged by the Processor to process Personal Data on behalf of the Controller.</w:t>
      </w:r>
    </w:p>
    <w:p>
      <w:r>
        <w:rPr>
          <w:b/>
          <w:sz w:val="20"/>
        </w:rPr>
        <w:t xml:space="preserve">"Supervisory Authority": </w:t>
      </w:r>
      <w:r>
        <w:rPr>
          <w:sz w:val="20"/>
        </w:rPr>
        <w:t>An independent public authority responsible for monitoring the application of data protection legislation.</w:t>
      </w:r>
    </w:p>
    <w:p>
      <w:pPr>
        <w:pStyle w:val="Heading1"/>
      </w:pPr>
      <w:r>
        <w:rPr>
          <w:color w:val="1A1A2E"/>
        </w:rPr>
        <w:t>3. Scope and Purpose of Processing</w:t>
      </w:r>
    </w:p>
    <w:p>
      <w:r>
        <w:t>The Processor shall process Personal Data on behalf of the Controller solely for the purposes of providing the LinkEdu.AI platform services as described in the main service agreement, including but not limited to:</w:t>
      </w:r>
    </w:p>
    <w:p>
      <w:pPr>
        <w:pStyle w:val="ListBullet"/>
      </w:pPr>
      <w:r>
        <w:t>Student profile management and university matching</w:t>
      </w:r>
    </w:p>
    <w:p>
      <w:pPr>
        <w:pStyle w:val="ListBullet"/>
      </w:pPr>
      <w:r>
        <w:t>Application processing and status tracking</w:t>
      </w:r>
    </w:p>
    <w:p>
      <w:pPr>
        <w:pStyle w:val="ListBullet"/>
      </w:pPr>
      <w:r>
        <w:t>Messaging and communication between platform users</w:t>
      </w:r>
    </w:p>
    <w:p>
      <w:pPr>
        <w:pStyle w:val="ListBullet"/>
      </w:pPr>
      <w:r>
        <w:t>AI-powered advisory services (admission chances, visa guidance)</w:t>
      </w:r>
    </w:p>
    <w:p>
      <w:pPr>
        <w:pStyle w:val="ListBullet"/>
      </w:pPr>
      <w:r>
        <w:t>Analytics and reporting for institutional clients</w:t>
      </w:r>
    </w:p>
    <w:p>
      <w:pPr>
        <w:pStyle w:val="ListBullet"/>
      </w:pPr>
      <w:r>
        <w:t>Subscription billing and account management</w:t>
      </w:r>
    </w:p>
    <w:p>
      <w:pPr>
        <w:pStyle w:val="Heading1"/>
      </w:pPr>
      <w:r>
        <w:rPr>
          <w:color w:val="1A1A2E"/>
        </w:rPr>
        <w:t>4. Categories of Personal Data</w:t>
      </w:r>
    </w:p>
    <w:p>
      <w:r>
        <w:t>The following categories of Personal Data may be processed under this DPA:</w:t>
      </w:r>
    </w:p>
    <w:p>
      <w:r>
        <w:rPr>
          <w:b/>
        </w:rPr>
        <w:t xml:space="preserve">Identity Data: </w:t>
      </w:r>
      <w:r>
        <w:t>Full name, date of birth, nationality, passport/ID details</w:t>
      </w:r>
    </w:p>
    <w:p>
      <w:r>
        <w:rPr>
          <w:b/>
        </w:rPr>
        <w:t xml:space="preserve">Contact Data: </w:t>
      </w:r>
      <w:r>
        <w:t>Email address, phone number, mailing address</w:t>
      </w:r>
    </w:p>
    <w:p>
      <w:r>
        <w:rPr>
          <w:b/>
        </w:rPr>
        <w:t xml:space="preserve">Education Data: </w:t>
      </w:r>
      <w:r>
        <w:t>Academic records, test scores, transcripts, program preferences</w:t>
      </w:r>
    </w:p>
    <w:p>
      <w:r>
        <w:rPr>
          <w:b/>
        </w:rPr>
        <w:t xml:space="preserve">Professional Data: </w:t>
      </w:r>
      <w:r>
        <w:t>Work experience, skills, certifications</w:t>
      </w:r>
    </w:p>
    <w:p>
      <w:r>
        <w:rPr>
          <w:b/>
        </w:rPr>
        <w:t xml:space="preserve">Financial Data: </w:t>
      </w:r>
      <w:r>
        <w:t>Billing information, subscription details (processed via Stripe)</w:t>
      </w:r>
    </w:p>
    <w:p>
      <w:r>
        <w:rPr>
          <w:b/>
        </w:rPr>
        <w:t xml:space="preserve">Usage Data: </w:t>
      </w:r>
      <w:r>
        <w:t>Platform activity logs, feature usage, session data</w:t>
      </w:r>
    </w:p>
    <w:p>
      <w:r>
        <w:rPr>
          <w:b/>
        </w:rPr>
        <w:t xml:space="preserve">Communication Data: </w:t>
      </w:r>
      <w:r>
        <w:t>Messages exchanged through the platform</w:t>
      </w:r>
    </w:p>
    <w:p>
      <w:pPr>
        <w:pStyle w:val="Heading1"/>
      </w:pPr>
      <w:r>
        <w:rPr>
          <w:color w:val="1A1A2E"/>
        </w:rPr>
        <w:t>5. Obligations of the Processor</w:t>
      </w:r>
    </w:p>
    <w:p>
      <w:pPr>
        <w:pStyle w:val="ListBullet"/>
      </w:pPr>
      <w:r>
        <w:t>Process Personal Data only on documented instructions from the Controller, unless required to do so by applicable law.</w:t>
      </w:r>
    </w:p>
    <w:p>
      <w:pPr>
        <w:pStyle w:val="ListBullet"/>
      </w:pPr>
      <w:r>
        <w:t>Ensure that persons authorized to process Personal Data have committed themselves to confidentiality or are under an appropriate statutory obligation of confidentiality.</w:t>
      </w:r>
    </w:p>
    <w:p>
      <w:pPr>
        <w:pStyle w:val="ListBullet"/>
      </w:pPr>
      <w:r>
        <w:t>Implement appropriate technical and organizational measures to ensure a level of security appropriate to the risk of processing.</w:t>
      </w:r>
    </w:p>
    <w:p>
      <w:pPr>
        <w:pStyle w:val="ListBullet"/>
      </w:pPr>
      <w:r>
        <w:t>Not engage another processor (sub-processor) without prior specific or general written authorization of the Controller.</w:t>
      </w:r>
    </w:p>
    <w:p>
      <w:pPr>
        <w:pStyle w:val="ListBullet"/>
      </w:pPr>
      <w:r>
        <w:t>Assist the Controller in ensuring compliance with obligations related to security of processing, notification of data breaches, data protection impact assessments, and prior consultation with supervisory authorities.</w:t>
      </w:r>
    </w:p>
    <w:p>
      <w:pPr>
        <w:pStyle w:val="ListBullet"/>
      </w:pPr>
      <w:r>
        <w:t>At the choice of the Controller, delete or return all Personal Data after the end of the provision of services, and delete existing copies unless applicable law requires storage.</w:t>
      </w:r>
    </w:p>
    <w:p>
      <w:pPr>
        <w:pStyle w:val="ListBullet"/>
      </w:pPr>
      <w:r>
        <w:t>Make available to the Controller all information necessary to demonstrate compliance with the obligations laid down in this DPA and allow for and contribute to audits and inspections.</w:t>
      </w:r>
    </w:p>
    <w:p>
      <w:pPr>
        <w:pStyle w:val="Heading1"/>
      </w:pPr>
      <w:r>
        <w:rPr>
          <w:color w:val="1A1A2E"/>
        </w:rPr>
        <w:t>6. Sub-processors</w:t>
      </w:r>
    </w:p>
    <w:p>
      <w:r>
        <w:t>The Controller provides general authorization for the Processor to engage sub-processors. The Processor shall inform the Controller of any intended changes concerning the addition or replacement of sub-processors, giving the Controller the opportunity to object to such changes.</w:t>
        <w:br/>
        <w:br/>
        <w:t>Current sub-processors include: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Sub-processor</w:t>
            </w:r>
          </w:p>
        </w:tc>
        <w:tc>
          <w:tcPr>
            <w:tcW w:type="dxa" w:w="2880"/>
          </w:tcPr>
          <w:p>
            <w:r>
              <w:rPr>
                <w:b/>
              </w:rPr>
              <w:t>Purpose</w:t>
            </w:r>
          </w:p>
        </w:tc>
        <w:tc>
          <w:tcPr>
            <w:tcW w:type="dxa" w:w="2880"/>
          </w:tcPr>
          <w:p>
            <w:r>
              <w:rPr>
                <w:b/>
              </w:rPr>
              <w:t>Location</w:t>
            </w:r>
          </w:p>
        </w:tc>
      </w:tr>
      <w:tr>
        <w:tc>
          <w:tcPr>
            <w:tcW w:type="dxa" w:w="2880"/>
          </w:tcPr>
          <w:p>
            <w:r>
              <w:t>Supabase (PostgreSQL)</w:t>
            </w:r>
          </w:p>
        </w:tc>
        <w:tc>
          <w:tcPr>
            <w:tcW w:type="dxa" w:w="2880"/>
          </w:tcPr>
          <w:p>
            <w:r>
              <w:t>Primary database and authentication</w:t>
            </w:r>
          </w:p>
        </w:tc>
        <w:tc>
          <w:tcPr>
            <w:tcW w:type="dxa" w:w="2880"/>
          </w:tcPr>
          <w:p>
            <w:r>
              <w:t>United States / EU</w:t>
            </w:r>
          </w:p>
        </w:tc>
      </w:tr>
      <w:tr>
        <w:tc>
          <w:tcPr>
            <w:tcW w:type="dxa" w:w="2880"/>
          </w:tcPr>
          <w:p>
            <w:r>
              <w:t>MongoDB Atlas</w:t>
            </w:r>
          </w:p>
        </w:tc>
        <w:tc>
          <w:tcPr>
            <w:tcW w:type="dxa" w:w="2880"/>
          </w:tcPr>
          <w:p>
            <w:r>
              <w:t>Document storage for auxiliary data</w:t>
            </w:r>
          </w:p>
        </w:tc>
        <w:tc>
          <w:tcPr>
            <w:tcW w:type="dxa" w:w="2880"/>
          </w:tcPr>
          <w:p>
            <w:r>
              <w:t>United States / EU</w:t>
            </w:r>
          </w:p>
        </w:tc>
      </w:tr>
      <w:tr>
        <w:tc>
          <w:tcPr>
            <w:tcW w:type="dxa" w:w="2880"/>
          </w:tcPr>
          <w:p>
            <w:r>
              <w:t>Stripe</w:t>
            </w:r>
          </w:p>
        </w:tc>
        <w:tc>
          <w:tcPr>
            <w:tcW w:type="dxa" w:w="2880"/>
          </w:tcPr>
          <w:p>
            <w:r>
              <w:t>Payment processing</w:t>
            </w:r>
          </w:p>
        </w:tc>
        <w:tc>
          <w:tcPr>
            <w:tcW w:type="dxa" w:w="2880"/>
          </w:tcPr>
          <w:p>
            <w:r>
              <w:t>United States / EU</w:t>
            </w:r>
          </w:p>
        </w:tc>
      </w:tr>
      <w:tr>
        <w:tc>
          <w:tcPr>
            <w:tcW w:type="dxa" w:w="2880"/>
          </w:tcPr>
          <w:p>
            <w:r>
              <w:t>OpenAI</w:t>
            </w:r>
          </w:p>
        </w:tc>
        <w:tc>
          <w:tcPr>
            <w:tcW w:type="dxa" w:w="2880"/>
          </w:tcPr>
          <w:p>
            <w:r>
              <w:t>AI-powered advisory features</w:t>
            </w:r>
          </w:p>
        </w:tc>
        <w:tc>
          <w:tcPr>
            <w:tcW w:type="dxa" w:w="2880"/>
          </w:tcPr>
          <w:p>
            <w:r>
              <w:t>United States</w:t>
            </w:r>
          </w:p>
        </w:tc>
      </w:tr>
      <w:tr>
        <w:tc>
          <w:tcPr>
            <w:tcW w:type="dxa" w:w="2880"/>
          </w:tcPr>
          <w:p>
            <w:r>
              <w:t>Resend</w:t>
            </w:r>
          </w:p>
        </w:tc>
        <w:tc>
          <w:tcPr>
            <w:tcW w:type="dxa" w:w="2880"/>
          </w:tcPr>
          <w:p>
            <w:r>
              <w:t>Transactional email delivery</w:t>
            </w:r>
          </w:p>
        </w:tc>
        <w:tc>
          <w:tcPr>
            <w:tcW w:type="dxa" w:w="2880"/>
          </w:tcPr>
          <w:p>
            <w:r>
              <w:t>United States</w:t>
            </w:r>
          </w:p>
        </w:tc>
      </w:tr>
    </w:tbl>
    <w:p>
      <w:pPr>
        <w:pStyle w:val="Heading1"/>
      </w:pPr>
      <w:r>
        <w:rPr>
          <w:color w:val="1A1A2E"/>
        </w:rPr>
        <w:t>7. Technical and Organizational Security Measures</w:t>
      </w:r>
    </w:p>
    <w:p>
      <w:r>
        <w:t>The Processor implements the following security measures:</w:t>
      </w:r>
    </w:p>
    <w:p>
      <w:pPr>
        <w:pStyle w:val="ListBullet"/>
      </w:pPr>
      <w:r>
        <w:t>Encryption of data in transit (TLS 1.2+) and at rest</w:t>
      </w:r>
    </w:p>
    <w:p>
      <w:pPr>
        <w:pStyle w:val="ListBullet"/>
      </w:pPr>
      <w:r>
        <w:t>Role-based access controls with principle of least privilege</w:t>
      </w:r>
    </w:p>
    <w:p>
      <w:pPr>
        <w:pStyle w:val="ListBullet"/>
      </w:pPr>
      <w:r>
        <w:t>Regular security assessments and vulnerability scanning</w:t>
      </w:r>
    </w:p>
    <w:p>
      <w:pPr>
        <w:pStyle w:val="ListBullet"/>
      </w:pPr>
      <w:r>
        <w:t>Secure authentication mechanisms including multi-factor authentication for administrative access</w:t>
      </w:r>
    </w:p>
    <w:p>
      <w:pPr>
        <w:pStyle w:val="ListBullet"/>
      </w:pPr>
      <w:r>
        <w:t>Automated backup and disaster recovery procedures</w:t>
      </w:r>
    </w:p>
    <w:p>
      <w:pPr>
        <w:pStyle w:val="ListBullet"/>
      </w:pPr>
      <w:r>
        <w:t>Incident detection and response procedures</w:t>
      </w:r>
    </w:p>
    <w:p>
      <w:pPr>
        <w:pStyle w:val="ListBullet"/>
      </w:pPr>
      <w:r>
        <w:t>Employee security awareness training</w:t>
      </w:r>
    </w:p>
    <w:p>
      <w:pPr>
        <w:pStyle w:val="ListBullet"/>
      </w:pPr>
      <w:r>
        <w:t>Physical security controls at data center facilities (managed by cloud providers)</w:t>
      </w:r>
    </w:p>
    <w:p>
      <w:pPr>
        <w:pStyle w:val="Heading1"/>
      </w:pPr>
      <w:r>
        <w:rPr>
          <w:color w:val="1A1A2E"/>
        </w:rPr>
        <w:t>8. Data Breach Notification</w:t>
      </w:r>
    </w:p>
    <w:p>
      <w:r>
        <w:t>The Processor shall notify the Controller without undue delay after becoming aware of a personal data breach. Such notification shall include:</w:t>
        <w:br/>
      </w:r>
    </w:p>
    <w:p>
      <w:pPr>
        <w:pStyle w:val="ListBullet"/>
      </w:pPr>
      <w:r>
        <w:t>A description of the nature of the personal data breach</w:t>
      </w:r>
    </w:p>
    <w:p>
      <w:pPr>
        <w:pStyle w:val="ListBullet"/>
      </w:pPr>
      <w:r>
        <w:t>The categories and approximate number of data subjects and records concerned</w:t>
      </w:r>
    </w:p>
    <w:p>
      <w:pPr>
        <w:pStyle w:val="ListBullet"/>
      </w:pPr>
      <w:r>
        <w:t>The likely consequences of the breach</w:t>
      </w:r>
    </w:p>
    <w:p>
      <w:pPr>
        <w:pStyle w:val="ListBullet"/>
      </w:pPr>
      <w:r>
        <w:t>The measures taken or proposed to address the breach and mitigate its effects</w:t>
      </w:r>
    </w:p>
    <w:p>
      <w:r>
        <w:br/>
        <w:t>The Processor shall document all personal data breaches, including the facts relating to the breach, its effects, and the remedial action taken.</w:t>
      </w:r>
    </w:p>
    <w:p>
      <w:pPr>
        <w:pStyle w:val="Heading1"/>
      </w:pPr>
      <w:r>
        <w:rPr>
          <w:color w:val="1A1A2E"/>
        </w:rPr>
        <w:t>9. Data Subject Rights</w:t>
      </w:r>
    </w:p>
    <w:p>
      <w:r>
        <w:t>The Processor shall assist the Controller in fulfilling its obligation to respond to requests from Data Subjects exercising their rights under applicable data protection law, including:</w:t>
        <w:br/>
      </w:r>
    </w:p>
    <w:p>
      <w:pPr>
        <w:pStyle w:val="ListBullet"/>
      </w:pPr>
      <w:r>
        <w:t>Right of access</w:t>
      </w:r>
    </w:p>
    <w:p>
      <w:pPr>
        <w:pStyle w:val="ListBullet"/>
      </w:pPr>
      <w:r>
        <w:t>Right to rectification</w:t>
      </w:r>
    </w:p>
    <w:p>
      <w:pPr>
        <w:pStyle w:val="ListBullet"/>
      </w:pPr>
      <w:r>
        <w:t>Right to erasure ('right to be forgotten')</w:t>
      </w:r>
    </w:p>
    <w:p>
      <w:pPr>
        <w:pStyle w:val="ListBullet"/>
      </w:pPr>
      <w:r>
        <w:t>Right to restriction of processing</w:t>
      </w:r>
    </w:p>
    <w:p>
      <w:pPr>
        <w:pStyle w:val="ListBullet"/>
      </w:pPr>
      <w:r>
        <w:t>Right to data portability</w:t>
      </w:r>
    </w:p>
    <w:p>
      <w:pPr>
        <w:pStyle w:val="ListBullet"/>
      </w:pPr>
      <w:r>
        <w:t>Right to object</w:t>
      </w:r>
    </w:p>
    <w:p>
      <w:pPr>
        <w:pStyle w:val="ListBullet"/>
      </w:pPr>
      <w:r>
        <w:t>Rights related to automated decision-making and profiling</w:t>
      </w:r>
    </w:p>
    <w:p>
      <w:pPr>
        <w:pStyle w:val="Heading1"/>
      </w:pPr>
      <w:r>
        <w:rPr>
          <w:color w:val="1A1A2E"/>
        </w:rPr>
        <w:t>10. International Data Transfers</w:t>
      </w:r>
    </w:p>
    <w:p>
      <w:r>
        <w:t>Where Personal Data is transferred to countries outside the European Economic Area (EEA), the United Kingdom, or other jurisdictions with equivalent adequacy protections, the Processor shall ensure that appropriate safeguards are in place, including:</w:t>
        <w:br/>
      </w:r>
    </w:p>
    <w:p>
      <w:pPr>
        <w:pStyle w:val="ListBullet"/>
      </w:pPr>
      <w:r>
        <w:t>Standard Contractual Clauses (SCCs) as adopted by the European Commission</w:t>
      </w:r>
    </w:p>
    <w:p>
      <w:pPr>
        <w:pStyle w:val="ListBullet"/>
      </w:pPr>
      <w:r>
        <w:t>Binding Corporate Rules where applicable</w:t>
      </w:r>
    </w:p>
    <w:p>
      <w:pPr>
        <w:pStyle w:val="ListBullet"/>
      </w:pPr>
      <w:r>
        <w:t>Adequacy decisions by relevant authorities</w:t>
      </w:r>
    </w:p>
    <w:p>
      <w:pPr>
        <w:pStyle w:val="ListBullet"/>
      </w:pPr>
      <w:r>
        <w:t>Any other legally recognized transfer mechanism</w:t>
      </w:r>
    </w:p>
    <w:p>
      <w:pPr>
        <w:pStyle w:val="Heading1"/>
      </w:pPr>
      <w:r>
        <w:rPr>
          <w:color w:val="1A1A2E"/>
        </w:rPr>
        <w:t>11. Term and Termination</w:t>
      </w:r>
    </w:p>
    <w:p>
      <w:r>
        <w:t>This DPA shall remain in effect for the duration of the main service agreement between the Parties. Upon termination of the service agreement, the Processor shall, at the Controller's election, return or delete all Personal Data processed on behalf of the Controller, unless applicable law requires continued storage.</w:t>
      </w:r>
    </w:p>
    <w:p>
      <w:pPr>
        <w:pStyle w:val="Heading1"/>
      </w:pPr>
      <w:r>
        <w:rPr>
          <w:color w:val="1A1A2E"/>
        </w:rPr>
        <w:t>12. Governing Law</w:t>
      </w:r>
    </w:p>
    <w:p>
      <w:r>
        <w:t>This DPA shall be governed by and construed in accordance with the laws of ____________________________________________ (to be agreed by the Parties).</w:t>
      </w:r>
    </w:p>
    <w:p>
      <w:pPr>
        <w:pStyle w:val="Heading1"/>
      </w:pPr>
      <w:r>
        <w:rPr>
          <w:color w:val="1A1A2E"/>
        </w:rPr>
        <w:t>13. Signatures</w:t>
      </w:r>
    </w:p>
    <w:p/>
    <w:p>
      <w:r>
        <w:t>On behalf of the Controller (Organization):</w:t>
      </w:r>
    </w:p>
    <w:p>
      <w:r>
        <w:t>Name: ____________________________________________</w:t>
      </w:r>
    </w:p>
    <w:p>
      <w:r>
        <w:t>Title: ____________________________________________</w:t>
      </w:r>
    </w:p>
    <w:p>
      <w:r>
        <w:t>Date: ____________________________________________</w:t>
      </w:r>
    </w:p>
    <w:p>
      <w:r>
        <w:t>Signature: ________________________________________</w:t>
      </w:r>
    </w:p>
    <w:p/>
    <w:p>
      <w:r>
        <w:t>On behalf of the Processor (LinkEdu.AI):</w:t>
      </w:r>
    </w:p>
    <w:p>
      <w:r>
        <w:t>Name: ____________________________________________</w:t>
      </w:r>
    </w:p>
    <w:p>
      <w:r>
        <w:t>Title: ____________________________________________</w:t>
      </w:r>
    </w:p>
    <w:p>
      <w:r>
        <w:t>Date: ____________________________________________</w:t>
      </w:r>
    </w:p>
    <w:p>
      <w:r>
        <w:t>Signature: ________________________________________</w:t>
      </w:r>
    </w:p>
    <w:p/>
    <w:p>
      <w:pPr>
        <w:jc w:val="center"/>
      </w:pPr>
      <w:r>
        <w:rPr>
          <w:color w:val="64748B"/>
          <w:sz w:val="18"/>
        </w:rPr>
        <w:t>For questions about this DPA, contact privacy@linkedu.ai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